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70E02" w:rsidRDefault="002717D1" w:rsidP="00CF4755">
      <w:pPr>
        <w:pStyle w:val="Sinespaciado"/>
        <w:jc w:val="center"/>
        <w:rPr>
          <w:rFonts w:ascii="Edwardian Script ITC" w:hAnsi="Edwardian Script ITC"/>
          <w:b/>
          <w:sz w:val="34"/>
          <w:szCs w:val="34"/>
          <w:lang w:eastAsia="es-MX"/>
        </w:rPr>
      </w:pPr>
      <w:r w:rsidRPr="00970E02">
        <w:rPr>
          <w:rFonts w:ascii="Edwardian Script ITC" w:hAnsi="Edwardian Script ITC"/>
          <w:b/>
          <w:sz w:val="34"/>
          <w:szCs w:val="34"/>
        </w:rPr>
        <w:t>Rama Legislativa del Poder Público</w:t>
      </w:r>
    </w:p>
    <w:p w14:paraId="70574CBC" w14:textId="77777777" w:rsidR="002717D1" w:rsidRPr="00970E02" w:rsidRDefault="002717D1"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Comisión Séptima Constitucional Permanente</w:t>
      </w:r>
    </w:p>
    <w:p w14:paraId="6027C56D" w14:textId="41BE15B6" w:rsidR="002717D1" w:rsidRPr="00970E02" w:rsidRDefault="00EE0326" w:rsidP="00CF4755">
      <w:pPr>
        <w:pStyle w:val="Sinespaciado"/>
        <w:jc w:val="center"/>
        <w:rPr>
          <w:rFonts w:ascii="Edwardian Script ITC" w:hAnsi="Edwardian Script ITC"/>
          <w:b/>
          <w:sz w:val="34"/>
          <w:szCs w:val="34"/>
        </w:rPr>
      </w:pPr>
      <w:r>
        <w:rPr>
          <w:rFonts w:ascii="Edwardian Script ITC" w:hAnsi="Edwardian Script ITC"/>
          <w:b/>
          <w:sz w:val="34"/>
          <w:szCs w:val="34"/>
        </w:rPr>
        <w:t>Legislatura 2022-2023</w:t>
      </w:r>
      <w:bookmarkStart w:id="0" w:name="_GoBack"/>
      <w:bookmarkEnd w:id="0"/>
    </w:p>
    <w:p w14:paraId="70CDCD9F" w14:textId="77777777" w:rsidR="00A769D4" w:rsidRPr="00576D58" w:rsidRDefault="00A769D4" w:rsidP="00CF4755">
      <w:pPr>
        <w:pStyle w:val="Sinespaciado"/>
        <w:jc w:val="center"/>
        <w:rPr>
          <w:rFonts w:ascii="Edwardian Script ITC" w:hAnsi="Edwardian Script ITC" w:cs="Arial"/>
          <w:b/>
          <w:sz w:val="18"/>
          <w:szCs w:val="18"/>
          <w:highlight w:val="yellow"/>
        </w:rPr>
      </w:pPr>
    </w:p>
    <w:p w14:paraId="5DE43464" w14:textId="2BCFE000" w:rsidR="003730B4" w:rsidRDefault="00E8300E" w:rsidP="003730B4">
      <w:pPr>
        <w:pStyle w:val="Sinespaciado"/>
        <w:jc w:val="both"/>
        <w:rPr>
          <w:rFonts w:ascii="Arial" w:hAnsi="Arial" w:cs="Arial"/>
          <w:b/>
          <w:sz w:val="23"/>
          <w:szCs w:val="23"/>
        </w:rPr>
      </w:pPr>
      <w:r w:rsidRPr="00970E02">
        <w:rPr>
          <w:rFonts w:ascii="Arial" w:hAnsi="Arial" w:cs="Arial"/>
          <w:b/>
          <w:bCs/>
          <w:sz w:val="23"/>
          <w:szCs w:val="23"/>
        </w:rPr>
        <w:t>TEXTO DEFINITIVO APROBADO EN PRIMER DEBATE DEL PROYECTO DE LEY</w:t>
      </w:r>
      <w:r w:rsidRPr="00970E02">
        <w:rPr>
          <w:rFonts w:ascii="Arial" w:hAnsi="Arial" w:cs="Arial"/>
          <w:b/>
          <w:sz w:val="23"/>
          <w:szCs w:val="23"/>
        </w:rPr>
        <w:t xml:space="preserve"> </w:t>
      </w:r>
      <w:r w:rsidR="000C1D2F" w:rsidRPr="006D364E">
        <w:rPr>
          <w:rFonts w:ascii="Arial" w:hAnsi="Arial" w:cs="Arial"/>
          <w:b/>
        </w:rPr>
        <w:t>N</w:t>
      </w:r>
      <w:r w:rsidR="000C1D2F">
        <w:rPr>
          <w:rFonts w:ascii="Arial" w:hAnsi="Arial" w:cs="Arial"/>
          <w:b/>
        </w:rPr>
        <w:t>o</w:t>
      </w:r>
      <w:r w:rsidR="000C1D2F" w:rsidRPr="006D364E">
        <w:rPr>
          <w:rFonts w:ascii="Arial" w:hAnsi="Arial" w:cs="Arial"/>
          <w:b/>
        </w:rPr>
        <w:t xml:space="preserve">. </w:t>
      </w:r>
      <w:r w:rsidR="000C1D2F" w:rsidRPr="001136D6">
        <w:rPr>
          <w:rStyle w:val="Textoennegrita"/>
          <w:rFonts w:ascii="Arial" w:hAnsi="Arial" w:cs="Arial"/>
        </w:rPr>
        <w:t xml:space="preserve">472 DE 2022 CÁMARA - 076 DE 2021 </w:t>
      </w:r>
      <w:r w:rsidR="000C1D2F" w:rsidRPr="001136D6">
        <w:rPr>
          <w:rFonts w:ascii="Arial" w:hAnsi="Arial" w:cs="Arial"/>
          <w:b/>
          <w:bCs/>
        </w:rPr>
        <w:t xml:space="preserve">SENADO </w:t>
      </w:r>
      <w:r w:rsidR="000C1D2F">
        <w:rPr>
          <w:rFonts w:ascii="Arial" w:hAnsi="Arial" w:cs="Arial"/>
          <w:b/>
          <w:bCs/>
        </w:rPr>
        <w:t>“</w:t>
      </w:r>
      <w:r w:rsidR="000C1D2F" w:rsidRPr="001136D6">
        <w:rPr>
          <w:rFonts w:ascii="Arial" w:hAnsi="Arial" w:cs="Arial"/>
          <w:b/>
          <w:bCs/>
        </w:rPr>
        <w:t xml:space="preserve">POR MEDIO DE LA CUAL SE OTORGA CUOTA DE SOSTENIMIENTO CON CARGO A LA PENSIÓN DEL CÓNYUGE CULPABLE EN EL DIVORCIO, </w:t>
      </w:r>
      <w:r w:rsidR="000C1D2F">
        <w:rPr>
          <w:rFonts w:ascii="Arial" w:hAnsi="Arial" w:cs="Arial"/>
          <w:b/>
          <w:bCs/>
        </w:rPr>
        <w:t xml:space="preserve">O LA DISOLUCIÓN DE LA UNION MARITAL DE HECHO, </w:t>
      </w:r>
      <w:r w:rsidR="000C1D2F" w:rsidRPr="001136D6">
        <w:rPr>
          <w:rFonts w:ascii="Arial" w:hAnsi="Arial" w:cs="Arial"/>
          <w:b/>
          <w:bCs/>
        </w:rPr>
        <w:t>A FAVOR DEL INOCENTE</w:t>
      </w:r>
      <w:r w:rsidR="000C1D2F">
        <w:rPr>
          <w:rFonts w:ascii="Arial" w:hAnsi="Arial" w:cs="Arial"/>
          <w:b/>
        </w:rPr>
        <w:t>”</w:t>
      </w:r>
      <w:r w:rsidR="002254D9" w:rsidRPr="002254D9">
        <w:rPr>
          <w:rFonts w:ascii="Arial" w:hAnsi="Arial" w:cs="Arial"/>
          <w:b/>
          <w:sz w:val="23"/>
          <w:szCs w:val="23"/>
        </w:rPr>
        <w:t xml:space="preserve">. </w:t>
      </w:r>
    </w:p>
    <w:p w14:paraId="6FB4E5E7" w14:textId="77777777" w:rsidR="002254D9" w:rsidRPr="00970E02" w:rsidRDefault="002254D9" w:rsidP="003730B4">
      <w:pPr>
        <w:pStyle w:val="Sinespaciado"/>
        <w:jc w:val="both"/>
        <w:rPr>
          <w:rFonts w:ascii="Arial" w:hAnsi="Arial" w:cs="Arial"/>
          <w:b/>
          <w:sz w:val="23"/>
          <w:szCs w:val="23"/>
        </w:rPr>
      </w:pPr>
    </w:p>
    <w:p w14:paraId="69566137" w14:textId="0D4DBE99" w:rsidR="002717D1" w:rsidRPr="00970E02" w:rsidRDefault="002717D1" w:rsidP="00980BFE">
      <w:pPr>
        <w:pStyle w:val="Sinespaciado"/>
        <w:jc w:val="center"/>
        <w:rPr>
          <w:rFonts w:ascii="Arial" w:hAnsi="Arial" w:cs="Arial"/>
          <w:sz w:val="23"/>
          <w:szCs w:val="23"/>
        </w:rPr>
      </w:pPr>
      <w:r w:rsidRPr="00970E02">
        <w:rPr>
          <w:rFonts w:ascii="Arial" w:hAnsi="Arial" w:cs="Arial"/>
          <w:sz w:val="23"/>
          <w:szCs w:val="23"/>
        </w:rPr>
        <w:t xml:space="preserve">(Aprobado en la </w:t>
      </w:r>
      <w:r w:rsidR="004C6DF0" w:rsidRPr="00970E02">
        <w:rPr>
          <w:rFonts w:ascii="Arial" w:hAnsi="Arial" w:cs="Arial"/>
          <w:sz w:val="23"/>
          <w:szCs w:val="23"/>
        </w:rPr>
        <w:t xml:space="preserve">Sesión </w:t>
      </w:r>
      <w:r w:rsidR="00503697" w:rsidRPr="00970E02">
        <w:rPr>
          <w:rFonts w:ascii="Arial" w:hAnsi="Arial" w:cs="Arial"/>
          <w:sz w:val="23"/>
          <w:szCs w:val="23"/>
        </w:rPr>
        <w:t>presencial</w:t>
      </w:r>
      <w:r w:rsidR="00E77D6C" w:rsidRPr="00970E02">
        <w:rPr>
          <w:rFonts w:ascii="Arial" w:hAnsi="Arial" w:cs="Arial"/>
          <w:sz w:val="23"/>
          <w:szCs w:val="23"/>
        </w:rPr>
        <w:t xml:space="preserve"> </w:t>
      </w:r>
      <w:r w:rsidRPr="00970E02">
        <w:rPr>
          <w:rFonts w:ascii="Arial" w:hAnsi="Arial" w:cs="Arial"/>
          <w:sz w:val="23"/>
          <w:szCs w:val="23"/>
        </w:rPr>
        <w:t>de</w:t>
      </w:r>
      <w:r w:rsidR="006B757E" w:rsidRPr="00970E02">
        <w:rPr>
          <w:rFonts w:ascii="Arial" w:hAnsi="Arial" w:cs="Arial"/>
          <w:sz w:val="23"/>
          <w:szCs w:val="23"/>
        </w:rPr>
        <w:t xml:space="preserve">l </w:t>
      </w:r>
      <w:r w:rsidR="000C1D2F">
        <w:rPr>
          <w:rFonts w:ascii="Arial" w:hAnsi="Arial" w:cs="Arial"/>
          <w:sz w:val="23"/>
          <w:szCs w:val="23"/>
        </w:rPr>
        <w:t xml:space="preserve">27 de septiembre </w:t>
      </w:r>
      <w:r w:rsidR="00F117D5" w:rsidRPr="00970E02">
        <w:rPr>
          <w:rFonts w:ascii="Arial" w:hAnsi="Arial" w:cs="Arial"/>
          <w:sz w:val="23"/>
          <w:szCs w:val="23"/>
        </w:rPr>
        <w:t>de 2022</w:t>
      </w:r>
      <w:r w:rsidR="00282D98" w:rsidRPr="00970E02">
        <w:rPr>
          <w:rFonts w:ascii="Arial" w:hAnsi="Arial" w:cs="Arial"/>
          <w:sz w:val="23"/>
          <w:szCs w:val="23"/>
        </w:rPr>
        <w:t>,</w:t>
      </w:r>
      <w:r w:rsidRPr="00970E02">
        <w:rPr>
          <w:rFonts w:ascii="Arial" w:hAnsi="Arial" w:cs="Arial"/>
          <w:sz w:val="23"/>
          <w:szCs w:val="23"/>
        </w:rPr>
        <w:t xml:space="preserve"> Comisión VII </w:t>
      </w:r>
      <w:r w:rsidR="00282D98" w:rsidRPr="00970E02">
        <w:rPr>
          <w:rFonts w:ascii="Arial" w:hAnsi="Arial" w:cs="Arial"/>
          <w:sz w:val="23"/>
          <w:szCs w:val="23"/>
        </w:rPr>
        <w:t xml:space="preserve">Constitucional Permanente </w:t>
      </w:r>
      <w:r w:rsidRPr="00970E02">
        <w:rPr>
          <w:rFonts w:ascii="Arial" w:hAnsi="Arial" w:cs="Arial"/>
          <w:sz w:val="23"/>
          <w:szCs w:val="23"/>
        </w:rPr>
        <w:t>de la H. Cámara de Representantes, Acta No.</w:t>
      </w:r>
      <w:r w:rsidR="006B757E" w:rsidRPr="00970E02">
        <w:rPr>
          <w:rFonts w:ascii="Arial" w:hAnsi="Arial" w:cs="Arial"/>
          <w:sz w:val="23"/>
          <w:szCs w:val="23"/>
        </w:rPr>
        <w:t xml:space="preserve"> </w:t>
      </w:r>
      <w:r w:rsidR="000C1D2F">
        <w:rPr>
          <w:rFonts w:ascii="Arial" w:hAnsi="Arial" w:cs="Arial"/>
          <w:sz w:val="23"/>
          <w:szCs w:val="23"/>
        </w:rPr>
        <w:t>1</w:t>
      </w:r>
      <w:r w:rsidR="002254D9" w:rsidRPr="00FE5B7D">
        <w:rPr>
          <w:rFonts w:ascii="Arial" w:hAnsi="Arial" w:cs="Arial"/>
          <w:sz w:val="23"/>
          <w:szCs w:val="23"/>
        </w:rPr>
        <w:t>0</w:t>
      </w:r>
      <w:r w:rsidRPr="00970E02">
        <w:rPr>
          <w:rFonts w:ascii="Arial" w:hAnsi="Arial" w:cs="Arial"/>
          <w:sz w:val="23"/>
          <w:szCs w:val="23"/>
        </w:rPr>
        <w:t>)</w:t>
      </w:r>
    </w:p>
    <w:p w14:paraId="31DC5EDC" w14:textId="77777777" w:rsidR="00E24232" w:rsidRPr="00970E02" w:rsidRDefault="00E24232" w:rsidP="00980BFE">
      <w:pPr>
        <w:pStyle w:val="Sinespaciado"/>
        <w:jc w:val="both"/>
        <w:rPr>
          <w:rFonts w:ascii="Arial" w:hAnsi="Arial" w:cs="Arial"/>
          <w:sz w:val="23"/>
          <w:szCs w:val="23"/>
        </w:rPr>
      </w:pPr>
    </w:p>
    <w:p w14:paraId="6E2FFCA1" w14:textId="77777777" w:rsidR="001C7B89" w:rsidRPr="00970E02" w:rsidRDefault="001C7B89" w:rsidP="00980BFE">
      <w:pPr>
        <w:pStyle w:val="Sinespaciado"/>
        <w:jc w:val="center"/>
        <w:rPr>
          <w:rFonts w:ascii="Arial" w:hAnsi="Arial" w:cs="Arial"/>
          <w:b/>
          <w:sz w:val="23"/>
          <w:szCs w:val="23"/>
        </w:rPr>
      </w:pPr>
      <w:r w:rsidRPr="00970E02">
        <w:rPr>
          <w:rFonts w:ascii="Arial" w:hAnsi="Arial" w:cs="Arial"/>
          <w:b/>
          <w:sz w:val="23"/>
          <w:szCs w:val="23"/>
        </w:rPr>
        <w:t>EL CONGRESO DE COLOMBIA</w:t>
      </w:r>
    </w:p>
    <w:p w14:paraId="41FB9D1B" w14:textId="77777777" w:rsidR="00CE617B" w:rsidRPr="00970E02" w:rsidRDefault="00CE617B" w:rsidP="00980BFE">
      <w:pPr>
        <w:pStyle w:val="Sinespaciado"/>
        <w:jc w:val="center"/>
        <w:rPr>
          <w:rFonts w:ascii="Arial" w:hAnsi="Arial" w:cs="Arial"/>
          <w:b/>
          <w:sz w:val="23"/>
          <w:szCs w:val="23"/>
        </w:rPr>
      </w:pPr>
    </w:p>
    <w:p w14:paraId="6CC6EEF2" w14:textId="77B97900" w:rsidR="00EA48F0" w:rsidRPr="00970E02" w:rsidRDefault="00EA48F0" w:rsidP="00980BFE">
      <w:pPr>
        <w:pStyle w:val="Sinespaciado"/>
        <w:jc w:val="center"/>
        <w:rPr>
          <w:rFonts w:ascii="Arial" w:hAnsi="Arial" w:cs="Arial"/>
          <w:b/>
          <w:sz w:val="23"/>
          <w:szCs w:val="23"/>
        </w:rPr>
      </w:pPr>
      <w:r w:rsidRPr="00970E02">
        <w:rPr>
          <w:rFonts w:ascii="Arial" w:hAnsi="Arial" w:cs="Arial"/>
          <w:b/>
          <w:sz w:val="23"/>
          <w:szCs w:val="23"/>
        </w:rPr>
        <w:t>DECRETA:</w:t>
      </w:r>
    </w:p>
    <w:p w14:paraId="54FCFFBE" w14:textId="06BDC3BA" w:rsidR="00F117D5" w:rsidRPr="00576D58" w:rsidRDefault="00F117D5" w:rsidP="00371CDD">
      <w:pPr>
        <w:pStyle w:val="Sinespaciado"/>
        <w:rPr>
          <w:rFonts w:ascii="Arial" w:hAnsi="Arial" w:cs="Arial"/>
          <w:sz w:val="23"/>
          <w:szCs w:val="23"/>
          <w:highlight w:val="yellow"/>
        </w:rPr>
      </w:pPr>
    </w:p>
    <w:p w14:paraId="24BC7D25" w14:textId="0F03F5AA" w:rsidR="00A50C8D" w:rsidRPr="005B7B96" w:rsidRDefault="00A50C8D" w:rsidP="00A50C8D">
      <w:pPr>
        <w:pStyle w:val="Sinespaciado"/>
        <w:jc w:val="both"/>
        <w:rPr>
          <w:rFonts w:ascii="Arial" w:hAnsi="Arial" w:cs="Arial"/>
        </w:rPr>
      </w:pPr>
      <w:r w:rsidRPr="005B7B96">
        <w:rPr>
          <w:rFonts w:ascii="Arial" w:hAnsi="Arial" w:cs="Arial"/>
          <w:b/>
          <w:bCs/>
        </w:rPr>
        <w:t>Artículo 1. OBJETO.</w:t>
      </w:r>
      <w:r w:rsidRPr="005B7B96">
        <w:rPr>
          <w:rFonts w:ascii="Arial" w:hAnsi="Arial" w:cs="Arial"/>
        </w:rPr>
        <w:t xml:space="preserve"> Garantizar el derecho al mínimo vital y manutención, del cónyuge o compañero (a) permanente que se ha dedicado por </w:t>
      </w:r>
      <w:r>
        <w:rPr>
          <w:rFonts w:ascii="Arial" w:hAnsi="Arial" w:cs="Arial"/>
        </w:rPr>
        <w:t>cinco (05)</w:t>
      </w:r>
      <w:r w:rsidRPr="005B7B96">
        <w:rPr>
          <w:rFonts w:ascii="Arial" w:hAnsi="Arial" w:cs="Arial"/>
        </w:rPr>
        <w:t xml:space="preserve"> años o más al </w:t>
      </w:r>
      <w:r>
        <w:rPr>
          <w:rFonts w:ascii="Arial" w:hAnsi="Arial" w:cs="Arial"/>
        </w:rPr>
        <w:t xml:space="preserve">trabajo doméstico y de </w:t>
      </w:r>
      <w:r w:rsidRPr="005B7B96">
        <w:rPr>
          <w:rFonts w:ascii="Arial" w:hAnsi="Arial" w:cs="Arial"/>
        </w:rPr>
        <w:t>cuidado</w:t>
      </w:r>
      <w:r>
        <w:rPr>
          <w:rFonts w:ascii="Arial" w:hAnsi="Arial" w:cs="Arial"/>
        </w:rPr>
        <w:t xml:space="preserve"> no remunerado, y por ello no realizó aportes al sistema de </w:t>
      </w:r>
      <w:r w:rsidRPr="005B7B96">
        <w:rPr>
          <w:rFonts w:ascii="Arial" w:hAnsi="Arial" w:cs="Arial"/>
        </w:rPr>
        <w:t>sistema de seguridad social en pensiones, ni como de</w:t>
      </w:r>
      <w:r>
        <w:rPr>
          <w:rFonts w:ascii="Arial" w:hAnsi="Arial" w:cs="Arial"/>
        </w:rPr>
        <w:t xml:space="preserve">pendiente ni como independiente, o estos sean insuficientes para acceder a una pensión de vejez, invalidez o pensión familiar y en caso de haber recibido una indemnización sustitutiva o devolución de saldos, está sea insuficiente para generar ingresos mensuales por debajo de la línea de pobreza. </w:t>
      </w:r>
    </w:p>
    <w:p w14:paraId="4CEF9E25" w14:textId="77777777" w:rsidR="00A50C8D" w:rsidRDefault="00A50C8D" w:rsidP="00A50C8D">
      <w:pPr>
        <w:pStyle w:val="Sinespaciado"/>
        <w:jc w:val="both"/>
        <w:rPr>
          <w:rFonts w:ascii="Arial" w:hAnsi="Arial" w:cs="Arial"/>
          <w:b/>
          <w:bCs/>
        </w:rPr>
      </w:pPr>
    </w:p>
    <w:p w14:paraId="6E19C31D" w14:textId="61F69CF0" w:rsidR="00A50C8D" w:rsidRPr="005B7B96" w:rsidRDefault="00A50C8D" w:rsidP="00A50C8D">
      <w:pPr>
        <w:pStyle w:val="Sinespaciado"/>
        <w:jc w:val="both"/>
        <w:rPr>
          <w:rFonts w:ascii="Arial" w:hAnsi="Arial" w:cs="Arial"/>
        </w:rPr>
      </w:pPr>
      <w:r w:rsidRPr="005B7B96">
        <w:rPr>
          <w:rFonts w:ascii="Arial" w:hAnsi="Arial" w:cs="Arial"/>
          <w:b/>
          <w:bCs/>
        </w:rPr>
        <w:t>ARTÍCULO 2. CUOTA DE SOSTENIMIENTO CON CARGO A LA PENSIÓN DEL CÓNYUGE CULPABLE EN EL DIVORCIO, A FAVOR DEL INOCENTE</w:t>
      </w:r>
      <w:r w:rsidRPr="005B7B96">
        <w:rPr>
          <w:rFonts w:ascii="Arial" w:hAnsi="Arial" w:cs="Arial"/>
        </w:rPr>
        <w:t>. El o la cónyuge o compañero (a) permanente que haya incidido o generado causal de divorcio y que sea declarado judicialmente culpable, dentro del trámite de divorcio o declaración y disolución de la unión marital de hecho y perciba una pensión de vejez o invalidez o asignación de retiro a cargo del régimen solidario de prima media con prestación definida, o del régimen de ahorro individual con solidaridad, o de alguna de las cajas de retiro de las fuerzas armadas, deberá reconocer al cónyuge inocente o compañero (a) permanente, que no haya incidido en la causal de divorcio o disolución de la sociedad marital de hecho, una suma equivalente hasta del 50% de su mesada pensional por vejez o invalidez o asignación de retiro; fijada por el juez competente, a petición de parte o de manera oficiosa conforme a las pruebas que obren en el proceso.</w:t>
      </w:r>
    </w:p>
    <w:p w14:paraId="5DF7B60B" w14:textId="77777777" w:rsidR="00A50C8D" w:rsidRDefault="00A50C8D" w:rsidP="00A50C8D">
      <w:pPr>
        <w:pStyle w:val="Sinespaciado"/>
        <w:jc w:val="both"/>
        <w:rPr>
          <w:rFonts w:ascii="Arial" w:hAnsi="Arial" w:cs="Arial"/>
          <w:b/>
          <w:bCs/>
        </w:rPr>
      </w:pPr>
    </w:p>
    <w:p w14:paraId="6D5F2518" w14:textId="1F92CE0E" w:rsidR="00A50C8D" w:rsidRPr="005B7B96" w:rsidRDefault="00A50C8D" w:rsidP="00A50C8D">
      <w:pPr>
        <w:pStyle w:val="Sinespaciado"/>
        <w:jc w:val="both"/>
        <w:rPr>
          <w:rFonts w:ascii="Arial" w:hAnsi="Arial" w:cs="Arial"/>
        </w:rPr>
      </w:pPr>
      <w:r w:rsidRPr="005B7B96">
        <w:rPr>
          <w:rFonts w:ascii="Arial" w:hAnsi="Arial" w:cs="Arial"/>
          <w:b/>
          <w:bCs/>
        </w:rPr>
        <w:t>PARAGRAFO</w:t>
      </w:r>
      <w:r w:rsidRPr="005B7B96">
        <w:rPr>
          <w:rFonts w:ascii="Arial" w:hAnsi="Arial" w:cs="Arial"/>
        </w:rPr>
        <w:t>. Esta cuota de sostenimiento con cargo a la pensión de uno de los cónyuges, en favor del otro, también podrá ser acordada entre éstos, al momento del divorcio o disolución de la unión marital de hecho, cuando exista mutuo acuerdo entre las partes. Para el efecto, la escritura pública contentiva del acuerdo de divorcio o disolución de la sociedad marital, reemplazará la orden judicial o sentencia, que contiene la orden de pago al fondo de pensiones o caja de retiro.</w:t>
      </w:r>
    </w:p>
    <w:p w14:paraId="093B0B83" w14:textId="77777777" w:rsidR="00A50C8D" w:rsidRDefault="00A50C8D" w:rsidP="00A50C8D">
      <w:pPr>
        <w:pStyle w:val="Sinespaciado"/>
        <w:jc w:val="both"/>
        <w:rPr>
          <w:rFonts w:ascii="Arial" w:hAnsi="Arial" w:cs="Arial"/>
          <w:b/>
          <w:bCs/>
        </w:rPr>
      </w:pPr>
    </w:p>
    <w:p w14:paraId="761F09C5" w14:textId="030F9E5D" w:rsidR="00A50C8D" w:rsidRPr="005B7B96" w:rsidRDefault="00A50C8D" w:rsidP="00A50C8D">
      <w:pPr>
        <w:pStyle w:val="Sinespaciado"/>
        <w:jc w:val="both"/>
        <w:rPr>
          <w:rFonts w:ascii="Arial" w:hAnsi="Arial" w:cs="Arial"/>
        </w:rPr>
      </w:pPr>
      <w:r w:rsidRPr="005B7B96">
        <w:rPr>
          <w:rFonts w:ascii="Arial" w:hAnsi="Arial" w:cs="Arial"/>
          <w:b/>
          <w:bCs/>
        </w:rPr>
        <w:t>ARTÍCULO 3. NATURALEZA JURIDICA</w:t>
      </w:r>
      <w:r w:rsidRPr="005B7B96">
        <w:rPr>
          <w:rFonts w:ascii="Arial" w:hAnsi="Arial" w:cs="Arial"/>
        </w:rPr>
        <w:t>. La cuota de sostenimiento con cargo a la pensión del cónyuge culpable en el divorcio, de que trata esta ley, es de naturaleza civil, no concurrente con la cuota alimentaria pactada entre cónyuges o decretada por el juez, dentro de algún otro proceso contencioso. No es transmisible, ni sustituible por causa de muerte, y en caso de fallecer el cónyuge inocente, acrece al titular de la pensión de vejez, o invalidez, o asignación de retiro del cónyuge culpable. Es concurrente con subsidios o auxilios estatales que perciba el cónyuge inocente, así como con los ingresos que pueda percibir por BEPS.</w:t>
      </w:r>
    </w:p>
    <w:p w14:paraId="1FC6B4BE" w14:textId="77777777" w:rsidR="00A50C8D" w:rsidRPr="005B7B96" w:rsidRDefault="00A50C8D" w:rsidP="00A50C8D">
      <w:pPr>
        <w:pStyle w:val="Sinespaciado"/>
        <w:jc w:val="both"/>
        <w:rPr>
          <w:rFonts w:ascii="Arial" w:hAnsi="Arial" w:cs="Arial"/>
        </w:rPr>
      </w:pPr>
    </w:p>
    <w:p w14:paraId="25109F56" w14:textId="77777777" w:rsidR="00A50C8D" w:rsidRPr="005B7B96" w:rsidRDefault="00A50C8D" w:rsidP="00A50C8D">
      <w:pPr>
        <w:pStyle w:val="Sinespaciado"/>
        <w:jc w:val="both"/>
        <w:rPr>
          <w:rFonts w:ascii="Arial" w:hAnsi="Arial" w:cs="Arial"/>
        </w:rPr>
      </w:pPr>
      <w:r w:rsidRPr="005B7B96">
        <w:rPr>
          <w:rFonts w:ascii="Arial" w:hAnsi="Arial" w:cs="Arial"/>
          <w:b/>
          <w:bCs/>
        </w:rPr>
        <w:t>PARAGRAFO.</w:t>
      </w:r>
      <w:r w:rsidRPr="005B7B96">
        <w:rPr>
          <w:rFonts w:ascii="Arial" w:hAnsi="Arial" w:cs="Arial"/>
        </w:rPr>
        <w:t xml:space="preserve"> En caso de fallecer el cónyuge culpable, titular de la pensión de vejez o invalidez, se extingue para el cónyuge inocente, el beneficio de que trata esta ley.</w:t>
      </w:r>
    </w:p>
    <w:p w14:paraId="591C869C" w14:textId="77777777" w:rsidR="00A50C8D" w:rsidRDefault="00A50C8D" w:rsidP="00A50C8D">
      <w:pPr>
        <w:pStyle w:val="Sinespaciado"/>
        <w:jc w:val="both"/>
        <w:rPr>
          <w:rFonts w:ascii="Arial" w:hAnsi="Arial" w:cs="Arial"/>
          <w:b/>
          <w:bCs/>
        </w:rPr>
      </w:pPr>
    </w:p>
    <w:p w14:paraId="09BD7692" w14:textId="56781DD0" w:rsidR="00A50C8D" w:rsidRPr="005B7B96" w:rsidRDefault="00A50C8D" w:rsidP="00A50C8D">
      <w:pPr>
        <w:pStyle w:val="Sinespaciado"/>
        <w:jc w:val="both"/>
        <w:rPr>
          <w:rFonts w:ascii="Arial" w:hAnsi="Arial" w:cs="Arial"/>
        </w:rPr>
      </w:pPr>
      <w:r w:rsidRPr="005B7B96">
        <w:rPr>
          <w:rFonts w:ascii="Arial" w:hAnsi="Arial" w:cs="Arial"/>
          <w:b/>
          <w:bCs/>
        </w:rPr>
        <w:t>ARTÍCULO 4. REQUISITOS.</w:t>
      </w:r>
      <w:r w:rsidRPr="005B7B96">
        <w:rPr>
          <w:rFonts w:ascii="Arial" w:hAnsi="Arial" w:cs="Arial"/>
        </w:rPr>
        <w:t xml:space="preserve"> Para acceder a la cuota de sostenimiento con cargo a la pensión del cónyuge culpable en el divorcio, de que trata esta ley, el cónyuge o compañero (a) permanente inocente, deberá cumplir los siguientes requisitos:</w:t>
      </w:r>
    </w:p>
    <w:p w14:paraId="4F42C931" w14:textId="77777777" w:rsidR="00A50C8D" w:rsidRDefault="00A50C8D" w:rsidP="00A50C8D">
      <w:pPr>
        <w:pStyle w:val="Sinespaciado"/>
        <w:jc w:val="both"/>
        <w:rPr>
          <w:rFonts w:ascii="Arial" w:hAnsi="Arial" w:cs="Arial"/>
        </w:rPr>
      </w:pPr>
    </w:p>
    <w:p w14:paraId="447A67BA" w14:textId="39355D23" w:rsidR="00A50C8D" w:rsidRPr="005B7B96" w:rsidRDefault="00A50C8D" w:rsidP="00A50C8D">
      <w:pPr>
        <w:pStyle w:val="Sinespaciado"/>
        <w:jc w:val="both"/>
        <w:rPr>
          <w:rFonts w:ascii="Arial" w:hAnsi="Arial" w:cs="Arial"/>
        </w:rPr>
      </w:pPr>
      <w:r w:rsidRPr="005B7B96">
        <w:rPr>
          <w:rFonts w:ascii="Arial" w:hAnsi="Arial" w:cs="Arial"/>
        </w:rPr>
        <w:t>1) No haber dado lugar o incurrido en una de las causales contempladas en el Artículo 154 del Código Civil o la norma que lo complemente o modifique.</w:t>
      </w:r>
    </w:p>
    <w:p w14:paraId="26EA1640" w14:textId="77777777" w:rsidR="00A50C8D" w:rsidRPr="005B7B96" w:rsidRDefault="00A50C8D" w:rsidP="00A50C8D">
      <w:pPr>
        <w:pStyle w:val="Sinespaciado"/>
        <w:jc w:val="both"/>
        <w:rPr>
          <w:rFonts w:ascii="Arial" w:hAnsi="Arial" w:cs="Arial"/>
        </w:rPr>
      </w:pPr>
      <w:r w:rsidRPr="005B7B96">
        <w:rPr>
          <w:rFonts w:ascii="Arial" w:hAnsi="Arial" w:cs="Arial"/>
        </w:rPr>
        <w:t>2) No haber realizado aportes al sistema de seguridad social en pensiones, o éstos sean insuficientes para acceder a una pensión de vejez, invalidez o pensión familiar y en caso de haber recibido una indemnización sustitutiva o devolución de saldos, ésta sea insuficiente para generar ingresos mensuales por debajo de la línea de pobreza.</w:t>
      </w:r>
    </w:p>
    <w:p w14:paraId="7D645A41" w14:textId="5CD64017" w:rsidR="00A50C8D" w:rsidRPr="005B7B96" w:rsidRDefault="00A50C8D" w:rsidP="00A50C8D">
      <w:pPr>
        <w:pStyle w:val="Sinespaciado"/>
        <w:jc w:val="both"/>
        <w:rPr>
          <w:rFonts w:ascii="Arial" w:hAnsi="Arial" w:cs="Arial"/>
        </w:rPr>
      </w:pPr>
      <w:r w:rsidRPr="005B7B96">
        <w:rPr>
          <w:rFonts w:ascii="Arial" w:hAnsi="Arial" w:cs="Arial"/>
        </w:rPr>
        <w:t>3) Haberse dedicado a labores propias del hogar, cuidado del hogar y de los hijos, durante</w:t>
      </w:r>
      <w:r>
        <w:rPr>
          <w:rFonts w:ascii="Arial" w:hAnsi="Arial" w:cs="Arial"/>
        </w:rPr>
        <w:t xml:space="preserve"> 5</w:t>
      </w:r>
      <w:r w:rsidRPr="005B7B96">
        <w:rPr>
          <w:rFonts w:ascii="Arial" w:hAnsi="Arial" w:cs="Arial"/>
        </w:rPr>
        <w:t xml:space="preserve"> años o más, durante la vigencia del matrimonio o la unión marital de hecho con el cónyuge culpable. </w:t>
      </w:r>
    </w:p>
    <w:p w14:paraId="0DE77AFC" w14:textId="77777777" w:rsidR="00A50C8D" w:rsidRPr="005B7B96" w:rsidRDefault="00A50C8D" w:rsidP="00A50C8D">
      <w:pPr>
        <w:pStyle w:val="Sinespaciado"/>
        <w:jc w:val="both"/>
        <w:rPr>
          <w:rFonts w:ascii="Arial" w:hAnsi="Arial" w:cs="Arial"/>
        </w:rPr>
      </w:pPr>
      <w:r w:rsidRPr="005B7B96">
        <w:rPr>
          <w:rFonts w:ascii="Arial" w:hAnsi="Arial" w:cs="Arial"/>
        </w:rPr>
        <w:t>4) Haberse iniciado por cualquiera de las dos partes el trámite de divorcio o declaración y disolución de la unión marital de hecho, en los términos establecidos en el Artículo 156 del Código Civil, o el Artículo 7º de la ley 54 de 1990, o en la norma que los modifique o regule, dentro del tiempo establecido para ello.</w:t>
      </w:r>
    </w:p>
    <w:p w14:paraId="0465C355" w14:textId="77777777" w:rsidR="00A50C8D" w:rsidRPr="005B7B96" w:rsidRDefault="00A50C8D" w:rsidP="00A50C8D">
      <w:pPr>
        <w:pStyle w:val="Sinespaciado"/>
        <w:jc w:val="both"/>
        <w:rPr>
          <w:rFonts w:ascii="Arial" w:hAnsi="Arial" w:cs="Arial"/>
        </w:rPr>
      </w:pPr>
      <w:r w:rsidRPr="005B7B96">
        <w:rPr>
          <w:rFonts w:ascii="Arial" w:hAnsi="Arial" w:cs="Arial"/>
        </w:rPr>
        <w:t>5) No poseer rentas o pensiones adicionales que le generen ingresos superiores al salario mínimo legal mensual vigente.</w:t>
      </w:r>
    </w:p>
    <w:p w14:paraId="4F0346AE" w14:textId="77777777" w:rsidR="00A50C8D" w:rsidRPr="005B7B96" w:rsidRDefault="00A50C8D" w:rsidP="00A50C8D">
      <w:pPr>
        <w:pStyle w:val="Sinespaciado"/>
        <w:jc w:val="both"/>
        <w:rPr>
          <w:rFonts w:ascii="Arial" w:hAnsi="Arial" w:cs="Arial"/>
        </w:rPr>
      </w:pPr>
      <w:r w:rsidRPr="005B7B96">
        <w:rPr>
          <w:rFonts w:ascii="Arial" w:hAnsi="Arial" w:cs="Arial"/>
        </w:rPr>
        <w:t>6) En caso de salir beneficiado en la liquidación de la sociedad conyugal, o de la sociedad patrimonial, con la adjudicación de bienes o gananciales en su favor, éstos sean insuficientes para garantizarle ingresos mensuales superiores al indicador de la línea de pobreza que informe oficialmente el Departamento de Planeación Nacional de Estadística – DANE o a la entidad que haga sus veces.</w:t>
      </w:r>
    </w:p>
    <w:p w14:paraId="4BBB60E5" w14:textId="77777777" w:rsidR="00A50C8D" w:rsidRPr="005B7B96" w:rsidRDefault="00A50C8D" w:rsidP="00A50C8D">
      <w:pPr>
        <w:pStyle w:val="Sinespaciado"/>
        <w:jc w:val="both"/>
        <w:rPr>
          <w:rFonts w:ascii="Arial" w:hAnsi="Arial" w:cs="Arial"/>
        </w:rPr>
      </w:pPr>
      <w:r w:rsidRPr="005B7B96">
        <w:rPr>
          <w:rFonts w:ascii="Arial" w:hAnsi="Arial" w:cs="Arial"/>
        </w:rPr>
        <w:t>7) Figurar como beneficiario del cónyuge culpable en el sistema de seguridad social en salud.</w:t>
      </w:r>
    </w:p>
    <w:p w14:paraId="73A12BB6" w14:textId="77777777" w:rsidR="00A50C8D" w:rsidRDefault="00A50C8D" w:rsidP="00A50C8D">
      <w:pPr>
        <w:pStyle w:val="Sinespaciado"/>
        <w:jc w:val="both"/>
        <w:rPr>
          <w:rFonts w:ascii="Arial" w:hAnsi="Arial" w:cs="Arial"/>
          <w:b/>
          <w:bCs/>
        </w:rPr>
      </w:pPr>
    </w:p>
    <w:p w14:paraId="6E81094E" w14:textId="502D4447" w:rsidR="00A50C8D" w:rsidRPr="005B7B96" w:rsidRDefault="00A50C8D" w:rsidP="00A50C8D">
      <w:pPr>
        <w:pStyle w:val="Sinespaciado"/>
        <w:jc w:val="both"/>
        <w:rPr>
          <w:rFonts w:ascii="Arial" w:hAnsi="Arial" w:cs="Arial"/>
        </w:rPr>
      </w:pPr>
      <w:r w:rsidRPr="005B7B96">
        <w:rPr>
          <w:rFonts w:ascii="Arial" w:hAnsi="Arial" w:cs="Arial"/>
          <w:b/>
          <w:bCs/>
        </w:rPr>
        <w:t>ARTÍCULO 5. ORDEN JUDICIAL.</w:t>
      </w:r>
      <w:r w:rsidRPr="005B7B96">
        <w:rPr>
          <w:rFonts w:ascii="Arial" w:hAnsi="Arial" w:cs="Arial"/>
        </w:rPr>
        <w:t xml:space="preserve"> Una vez ejecutoriada la sentencia de divorcio o declaración y disolución de la unión marital de hecho, el juez oficiará a la entidad correspondiente, del régimen solidario de prima media con prestación definida o del régimen de ahorro individual con solidaridad, o de alguna de las cajas de retiro de las fuerzas armadas, para que proceda al pago mensual de la cuota de sostenimiento con cargo a la pensión del cónyuge culpable, ordenada por el juez a favor del cónyuge inocente.</w:t>
      </w:r>
    </w:p>
    <w:p w14:paraId="4B2C71C8" w14:textId="77777777" w:rsidR="00A50C8D" w:rsidRDefault="00A50C8D" w:rsidP="00A50C8D">
      <w:pPr>
        <w:pStyle w:val="Sinespaciado"/>
        <w:jc w:val="both"/>
        <w:rPr>
          <w:rFonts w:ascii="Arial" w:hAnsi="Arial" w:cs="Arial"/>
        </w:rPr>
      </w:pPr>
    </w:p>
    <w:p w14:paraId="674EE68D" w14:textId="0916CFBE" w:rsidR="00A50C8D" w:rsidRPr="005B7B96" w:rsidRDefault="00A50C8D" w:rsidP="00A50C8D">
      <w:pPr>
        <w:pStyle w:val="Sinespaciado"/>
        <w:jc w:val="both"/>
        <w:rPr>
          <w:rFonts w:ascii="Arial" w:hAnsi="Arial" w:cs="Arial"/>
        </w:rPr>
      </w:pPr>
      <w:r w:rsidRPr="005B7B96">
        <w:rPr>
          <w:rFonts w:ascii="Arial" w:hAnsi="Arial" w:cs="Arial"/>
        </w:rPr>
        <w:t xml:space="preserve">Para fijar el monto del porcentaje sobre la pensión de que trata esta ley, el juez de manera oficiosa o a petición de parte, podrá hacer uso de los medios de prueba establecidos en el Código General del Proceso, a efecto de constatar las condiciones económicas del cónyuge que no ha incidido en el divorcio. </w:t>
      </w:r>
    </w:p>
    <w:p w14:paraId="58EF9ABE" w14:textId="77777777" w:rsidR="00A50C8D" w:rsidRPr="005B7B96" w:rsidRDefault="00A50C8D" w:rsidP="00A50C8D">
      <w:pPr>
        <w:pStyle w:val="Sinespaciado"/>
        <w:jc w:val="both"/>
        <w:rPr>
          <w:rFonts w:ascii="Arial" w:hAnsi="Arial" w:cs="Arial"/>
        </w:rPr>
      </w:pPr>
    </w:p>
    <w:p w14:paraId="7B105DF6" w14:textId="77777777" w:rsidR="00A50C8D" w:rsidRPr="005B7B96" w:rsidRDefault="00A50C8D" w:rsidP="00A50C8D">
      <w:pPr>
        <w:pStyle w:val="Sinespaciado"/>
        <w:jc w:val="both"/>
        <w:rPr>
          <w:rFonts w:ascii="Arial" w:hAnsi="Arial" w:cs="Arial"/>
        </w:rPr>
      </w:pPr>
      <w:r w:rsidRPr="005B7B96">
        <w:rPr>
          <w:rFonts w:ascii="Arial" w:hAnsi="Arial" w:cs="Arial"/>
          <w:b/>
          <w:bCs/>
        </w:rPr>
        <w:t>ARTÍCULO 6. APORTES A SALUD.</w:t>
      </w:r>
      <w:r w:rsidRPr="005B7B96">
        <w:rPr>
          <w:rFonts w:ascii="Arial" w:hAnsi="Arial" w:cs="Arial"/>
        </w:rPr>
        <w:t xml:space="preserve"> La cotización mensual el régimen de salud del pensionado y del beneficiario de esta ley, se calculará en consideración del monto total de la mesada a dividir. Los descuentos correspondientes se efectuarán sobre la suma ordenada por el juez a cada uno, en forma proporcional.</w:t>
      </w:r>
    </w:p>
    <w:p w14:paraId="3DF198A2" w14:textId="77777777" w:rsidR="00A50C8D" w:rsidRPr="005B7B96" w:rsidRDefault="00A50C8D" w:rsidP="00A50C8D">
      <w:pPr>
        <w:pStyle w:val="Sinespaciado"/>
        <w:jc w:val="both"/>
        <w:rPr>
          <w:rFonts w:ascii="Arial" w:hAnsi="Arial" w:cs="Arial"/>
        </w:rPr>
      </w:pPr>
    </w:p>
    <w:p w14:paraId="787958D6" w14:textId="77777777" w:rsidR="00A50C8D" w:rsidRPr="005B7B96" w:rsidRDefault="00A50C8D" w:rsidP="00A50C8D">
      <w:pPr>
        <w:pStyle w:val="Sinespaciado"/>
        <w:jc w:val="both"/>
        <w:rPr>
          <w:rFonts w:ascii="Arial" w:hAnsi="Arial" w:cs="Arial"/>
        </w:rPr>
      </w:pPr>
      <w:r w:rsidRPr="005B7B96">
        <w:rPr>
          <w:rFonts w:ascii="Arial" w:hAnsi="Arial" w:cs="Arial"/>
          <w:b/>
          <w:bCs/>
        </w:rPr>
        <w:t>PARAGRAFO.</w:t>
      </w:r>
      <w:r w:rsidRPr="005B7B96">
        <w:rPr>
          <w:rFonts w:ascii="Arial" w:hAnsi="Arial" w:cs="Arial"/>
        </w:rPr>
        <w:t xml:space="preserve"> Para efectos de los beneficios en salud, el cónyuge o compañero(a) permanente inocente, beneficiario de esta ley, no podrá incluir nuevos beneficiarios con cargo a esta cotización, ni recibir pago por prestaciones económicas.</w:t>
      </w:r>
    </w:p>
    <w:p w14:paraId="79C9F5B1" w14:textId="77777777" w:rsidR="00A50C8D" w:rsidRDefault="00A50C8D" w:rsidP="00A50C8D">
      <w:pPr>
        <w:pStyle w:val="Sinespaciado"/>
        <w:jc w:val="both"/>
        <w:rPr>
          <w:rFonts w:ascii="Arial" w:hAnsi="Arial" w:cs="Arial"/>
        </w:rPr>
      </w:pPr>
    </w:p>
    <w:p w14:paraId="62520FB6" w14:textId="0315E39F" w:rsidR="00A50C8D" w:rsidRPr="005B7B96" w:rsidRDefault="00A50C8D" w:rsidP="00A50C8D">
      <w:pPr>
        <w:pStyle w:val="Sinespaciado"/>
        <w:jc w:val="both"/>
        <w:rPr>
          <w:rFonts w:ascii="Arial" w:hAnsi="Arial" w:cs="Arial"/>
        </w:rPr>
      </w:pPr>
      <w:r w:rsidRPr="005B7B96">
        <w:rPr>
          <w:rFonts w:ascii="Arial" w:hAnsi="Arial" w:cs="Arial"/>
        </w:rPr>
        <w:t xml:space="preserve">En todo caso, subsiste el derecho del pensionado divorciado, de afiliar un nuevo beneficiario en calidad de cónyuge o compañero o compañera permanente como afiliado adicional de los </w:t>
      </w:r>
      <w:r w:rsidRPr="005B7B96">
        <w:rPr>
          <w:rFonts w:ascii="Arial" w:hAnsi="Arial" w:cs="Arial"/>
        </w:rPr>
        <w:lastRenderedPageBreak/>
        <w:t xml:space="preserve">establecidos en el régimen contributivo, siempre que dicho beneficiario no cumpla con las condiciones para inscribirse como cotizante y se garantice el pago del valor de la UPC correspondiente a su grupo de edad. </w:t>
      </w:r>
    </w:p>
    <w:p w14:paraId="0131B0A2" w14:textId="77777777" w:rsidR="00A50C8D" w:rsidRPr="005B7B96" w:rsidRDefault="00A50C8D" w:rsidP="00A50C8D">
      <w:pPr>
        <w:pStyle w:val="Sinespaciado"/>
        <w:jc w:val="both"/>
        <w:rPr>
          <w:rFonts w:ascii="Arial" w:hAnsi="Arial" w:cs="Arial"/>
        </w:rPr>
      </w:pPr>
    </w:p>
    <w:p w14:paraId="232F35A0" w14:textId="6A51DF76" w:rsidR="00506BC5" w:rsidRPr="00506BC5" w:rsidRDefault="00A50C8D" w:rsidP="00A50C8D">
      <w:pPr>
        <w:pStyle w:val="Sinespaciado"/>
        <w:jc w:val="both"/>
        <w:rPr>
          <w:rFonts w:eastAsia="Arial"/>
        </w:rPr>
      </w:pPr>
      <w:r w:rsidRPr="005B7B96">
        <w:rPr>
          <w:rFonts w:ascii="Arial" w:hAnsi="Arial" w:cs="Arial"/>
          <w:b/>
          <w:bCs/>
        </w:rPr>
        <w:t>ARTÍCULO 7°. VIGENCIA.</w:t>
      </w:r>
      <w:r w:rsidRPr="005B7B96">
        <w:rPr>
          <w:rFonts w:ascii="Arial" w:hAnsi="Arial" w:cs="Arial"/>
        </w:rPr>
        <w:t xml:space="preserve"> La presente ley empezará a regir a partir de la fecha de su publicación y deroga las disposiciones que le sean contrarias.</w:t>
      </w:r>
    </w:p>
    <w:p w14:paraId="1F5D8A74" w14:textId="65290347" w:rsidR="007A2464" w:rsidRPr="0071205D" w:rsidRDefault="007A2464" w:rsidP="00506BC5">
      <w:pPr>
        <w:pStyle w:val="Sinespaciado"/>
        <w:jc w:val="both"/>
        <w:rPr>
          <w:rFonts w:ascii="Arial" w:hAnsi="Arial" w:cs="Arial"/>
          <w:lang w:eastAsia="es-ES"/>
        </w:rPr>
      </w:pPr>
    </w:p>
    <w:p w14:paraId="1473C547" w14:textId="77777777" w:rsidR="007A2464" w:rsidRPr="007A2464" w:rsidRDefault="007A2464" w:rsidP="007A2464">
      <w:pPr>
        <w:pStyle w:val="Sinespaciado"/>
        <w:jc w:val="both"/>
        <w:rPr>
          <w:rFonts w:ascii="Arial" w:hAnsi="Arial" w:cs="Arial"/>
          <w:b/>
          <w:lang w:eastAsia="es-ES"/>
        </w:rPr>
      </w:pPr>
    </w:p>
    <w:p w14:paraId="3863F5D5" w14:textId="2032743D" w:rsidR="007A2464" w:rsidRDefault="007A2464" w:rsidP="007A2464">
      <w:pPr>
        <w:pStyle w:val="Sinespaciado"/>
        <w:jc w:val="both"/>
        <w:rPr>
          <w:rFonts w:ascii="Arial" w:hAnsi="Arial" w:cs="Arial"/>
          <w:b/>
          <w:lang w:eastAsia="es-ES"/>
        </w:rPr>
      </w:pPr>
    </w:p>
    <w:p w14:paraId="4AA1FE55" w14:textId="77777777" w:rsidR="007A6414" w:rsidRPr="007A2464" w:rsidRDefault="007A6414" w:rsidP="007A2464">
      <w:pPr>
        <w:pStyle w:val="Sinespaciado"/>
        <w:jc w:val="both"/>
        <w:rPr>
          <w:rFonts w:ascii="Arial" w:hAnsi="Arial" w:cs="Arial"/>
          <w:b/>
          <w:lang w:eastAsia="es-ES"/>
        </w:rPr>
      </w:pPr>
    </w:p>
    <w:p w14:paraId="6DDAB954" w14:textId="77777777" w:rsidR="007A2464" w:rsidRPr="007A2464" w:rsidRDefault="007A2464" w:rsidP="007A2464">
      <w:pPr>
        <w:pStyle w:val="Sinespaciado"/>
        <w:jc w:val="both"/>
        <w:rPr>
          <w:rFonts w:ascii="Arial" w:hAnsi="Arial" w:cs="Arial"/>
          <w:b/>
          <w:lang w:eastAsia="es-ES"/>
        </w:rPr>
      </w:pPr>
    </w:p>
    <w:p w14:paraId="4CBC58A0" w14:textId="77777777" w:rsidR="00506BC5" w:rsidRDefault="00506BC5" w:rsidP="00506BC5">
      <w:pPr>
        <w:pStyle w:val="Sinespaciado"/>
        <w:rPr>
          <w:rFonts w:ascii="Arial" w:hAnsi="Arial" w:cs="Arial"/>
          <w:b/>
          <w:bCs/>
        </w:rPr>
        <w:sectPr w:rsidR="00506BC5" w:rsidSect="00503697">
          <w:headerReference w:type="default" r:id="rId8"/>
          <w:footerReference w:type="default" r:id="rId9"/>
          <w:pgSz w:w="12240" w:h="15840" w:code="1"/>
          <w:pgMar w:top="1531" w:right="1134" w:bottom="567" w:left="1588" w:header="510" w:footer="397" w:gutter="0"/>
          <w:cols w:space="708"/>
          <w:docGrid w:linePitch="360"/>
        </w:sectPr>
      </w:pPr>
    </w:p>
    <w:p w14:paraId="723FDF83" w14:textId="092332A3" w:rsidR="00506BC5" w:rsidRPr="00506BC5" w:rsidRDefault="00A50C8D" w:rsidP="00506BC5">
      <w:pPr>
        <w:pStyle w:val="Sinespaciado"/>
        <w:rPr>
          <w:rFonts w:ascii="Arial" w:hAnsi="Arial" w:cs="Arial"/>
          <w:b/>
          <w:bCs/>
        </w:rPr>
      </w:pPr>
      <w:r>
        <w:rPr>
          <w:rFonts w:ascii="Arial" w:hAnsi="Arial" w:cs="Arial"/>
          <w:b/>
          <w:bCs/>
        </w:rPr>
        <w:t>JUAN FELIPE CORZO ÁLVAREZ</w:t>
      </w:r>
    </w:p>
    <w:p w14:paraId="176E900B" w14:textId="77777777" w:rsidR="00506BC5" w:rsidRPr="00506BC5" w:rsidRDefault="00506BC5" w:rsidP="00506BC5">
      <w:pPr>
        <w:pStyle w:val="Sinespaciado"/>
        <w:rPr>
          <w:rFonts w:ascii="Arial" w:hAnsi="Arial" w:cs="Arial"/>
        </w:rPr>
      </w:pPr>
      <w:r w:rsidRPr="00506BC5">
        <w:rPr>
          <w:rFonts w:ascii="Arial" w:hAnsi="Arial" w:cs="Arial"/>
        </w:rPr>
        <w:t>Representante a la Cámara</w:t>
      </w:r>
    </w:p>
    <w:p w14:paraId="7EC4BAB3" w14:textId="77777777" w:rsidR="00506BC5" w:rsidRPr="00506BC5" w:rsidRDefault="00506BC5" w:rsidP="00506BC5">
      <w:pPr>
        <w:jc w:val="both"/>
        <w:rPr>
          <w:rFonts w:ascii="Arial" w:hAnsi="Arial" w:cs="Arial"/>
        </w:rPr>
      </w:pPr>
      <w:r w:rsidRPr="00506BC5">
        <w:rPr>
          <w:rFonts w:ascii="Arial" w:hAnsi="Arial" w:cs="Arial"/>
        </w:rPr>
        <w:t xml:space="preserve">                                    </w:t>
      </w:r>
    </w:p>
    <w:p w14:paraId="5C3B5352" w14:textId="10CED19E" w:rsidR="00506BC5" w:rsidRPr="00506BC5" w:rsidRDefault="00A50C8D" w:rsidP="00506BC5">
      <w:pPr>
        <w:pStyle w:val="Sinespaciado"/>
        <w:rPr>
          <w:rFonts w:ascii="Arial" w:hAnsi="Arial" w:cs="Arial"/>
          <w:b/>
          <w:bCs/>
        </w:rPr>
      </w:pPr>
      <w:r>
        <w:rPr>
          <w:rFonts w:ascii="Arial" w:hAnsi="Arial" w:cs="Arial"/>
          <w:b/>
          <w:bCs/>
        </w:rPr>
        <w:t>LEIDER ALEXANDRA VASQUEZ OCHOA</w:t>
      </w:r>
    </w:p>
    <w:p w14:paraId="66331814" w14:textId="45D14F72" w:rsidR="00506BC5" w:rsidRDefault="00A50C8D" w:rsidP="00A50C8D">
      <w:pPr>
        <w:pStyle w:val="Sinespaciado"/>
        <w:rPr>
          <w:rFonts w:ascii="Arial" w:hAnsi="Arial" w:cs="Arial"/>
        </w:rPr>
        <w:sectPr w:rsidR="00506BC5" w:rsidSect="00506BC5">
          <w:type w:val="continuous"/>
          <w:pgSz w:w="12240" w:h="15840" w:code="1"/>
          <w:pgMar w:top="1531" w:right="1134" w:bottom="567" w:left="1588" w:header="510" w:footer="397" w:gutter="0"/>
          <w:cols w:num="2" w:space="708"/>
          <w:docGrid w:linePitch="360"/>
        </w:sectPr>
      </w:pPr>
      <w:r>
        <w:rPr>
          <w:rFonts w:ascii="Arial" w:hAnsi="Arial" w:cs="Arial"/>
        </w:rPr>
        <w:t>Representante a la Cámara</w:t>
      </w:r>
    </w:p>
    <w:p w14:paraId="0C7B3FE3" w14:textId="70A0DC5F" w:rsidR="003A0E0F" w:rsidRPr="003730B4" w:rsidRDefault="003A0E0F" w:rsidP="003730B4">
      <w:pPr>
        <w:pStyle w:val="Sinespaciado"/>
        <w:jc w:val="both"/>
        <w:rPr>
          <w:rFonts w:ascii="Arial" w:hAnsi="Arial" w:cs="Arial"/>
          <w:lang w:eastAsia="es-ES"/>
        </w:rPr>
      </w:pPr>
    </w:p>
    <w:sectPr w:rsidR="003A0E0F" w:rsidRPr="003730B4" w:rsidSect="00506BC5">
      <w:type w:val="continuous"/>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7F0C" w14:textId="77777777" w:rsidR="009D6D4D" w:rsidRDefault="009D6D4D" w:rsidP="001A75AA">
      <w:pPr>
        <w:spacing w:after="0" w:line="240" w:lineRule="auto"/>
      </w:pPr>
      <w:r>
        <w:separator/>
      </w:r>
    </w:p>
  </w:endnote>
  <w:endnote w:type="continuationSeparator" w:id="0">
    <w:p w14:paraId="51607B33" w14:textId="77777777" w:rsidR="009D6D4D" w:rsidRDefault="009D6D4D"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11CDF" w14:textId="77777777" w:rsidR="009D6D4D" w:rsidRDefault="009D6D4D" w:rsidP="001A75AA">
      <w:pPr>
        <w:spacing w:after="0" w:line="240" w:lineRule="auto"/>
      </w:pPr>
      <w:r>
        <w:separator/>
      </w:r>
    </w:p>
  </w:footnote>
  <w:footnote w:type="continuationSeparator" w:id="0">
    <w:p w14:paraId="20C3AD63" w14:textId="77777777" w:rsidR="009D6D4D" w:rsidRDefault="009D6D4D"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7FD"/>
    <w:multiLevelType w:val="hybridMultilevel"/>
    <w:tmpl w:val="538ECD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1715BE"/>
    <w:multiLevelType w:val="hybridMultilevel"/>
    <w:tmpl w:val="8D6E58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2"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6B229E3"/>
    <w:multiLevelType w:val="hybridMultilevel"/>
    <w:tmpl w:val="2CE01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0A52B81"/>
    <w:multiLevelType w:val="hybridMultilevel"/>
    <w:tmpl w:val="82A0C5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72637B"/>
    <w:multiLevelType w:val="hybridMultilevel"/>
    <w:tmpl w:val="565456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729231F"/>
    <w:multiLevelType w:val="hybridMultilevel"/>
    <w:tmpl w:val="2E3AD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3"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3ED7FA1"/>
    <w:multiLevelType w:val="hybridMultilevel"/>
    <w:tmpl w:val="399C7E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9"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40"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7"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9"/>
  </w:num>
  <w:num w:numId="2">
    <w:abstractNumId w:val="40"/>
  </w:num>
  <w:num w:numId="3">
    <w:abstractNumId w:val="5"/>
  </w:num>
  <w:num w:numId="4">
    <w:abstractNumId w:val="20"/>
  </w:num>
  <w:num w:numId="5">
    <w:abstractNumId w:val="1"/>
  </w:num>
  <w:num w:numId="6">
    <w:abstractNumId w:val="26"/>
  </w:num>
  <w:num w:numId="7">
    <w:abstractNumId w:val="47"/>
  </w:num>
  <w:num w:numId="8">
    <w:abstractNumId w:val="8"/>
  </w:num>
  <w:num w:numId="9">
    <w:abstractNumId w:val="7"/>
  </w:num>
  <w:num w:numId="10">
    <w:abstractNumId w:val="35"/>
  </w:num>
  <w:num w:numId="11">
    <w:abstractNumId w:val="44"/>
  </w:num>
  <w:num w:numId="12">
    <w:abstractNumId w:val="17"/>
  </w:num>
  <w:num w:numId="13">
    <w:abstractNumId w:val="10"/>
  </w:num>
  <w:num w:numId="14">
    <w:abstractNumId w:val="21"/>
  </w:num>
  <w:num w:numId="15">
    <w:abstractNumId w:val="16"/>
  </w:num>
  <w:num w:numId="16">
    <w:abstractNumId w:val="43"/>
  </w:num>
  <w:num w:numId="17">
    <w:abstractNumId w:val="31"/>
  </w:num>
  <w:num w:numId="18">
    <w:abstractNumId w:val="27"/>
  </w:num>
  <w:num w:numId="19">
    <w:abstractNumId w:val="33"/>
  </w:num>
  <w:num w:numId="20">
    <w:abstractNumId w:val="45"/>
  </w:num>
  <w:num w:numId="21">
    <w:abstractNumId w:val="3"/>
  </w:num>
  <w:num w:numId="22">
    <w:abstractNumId w:val="18"/>
  </w:num>
  <w:num w:numId="23">
    <w:abstractNumId w:val="9"/>
  </w:num>
  <w:num w:numId="24">
    <w:abstractNumId w:val="41"/>
  </w:num>
  <w:num w:numId="25">
    <w:abstractNumId w:val="19"/>
  </w:num>
  <w:num w:numId="26">
    <w:abstractNumId w:val="4"/>
  </w:num>
  <w:num w:numId="27">
    <w:abstractNumId w:val="2"/>
  </w:num>
  <w:num w:numId="28">
    <w:abstractNumId w:val="37"/>
  </w:num>
  <w:num w:numId="29">
    <w:abstractNumId w:val="12"/>
  </w:num>
  <w:num w:numId="30">
    <w:abstractNumId w:val="25"/>
  </w:num>
  <w:num w:numId="31">
    <w:abstractNumId w:val="14"/>
  </w:num>
  <w:num w:numId="32">
    <w:abstractNumId w:val="39"/>
  </w:num>
  <w:num w:numId="33">
    <w:abstractNumId w:val="32"/>
  </w:num>
  <w:num w:numId="34">
    <w:abstractNumId w:val="38"/>
  </w:num>
  <w:num w:numId="35">
    <w:abstractNumId w:val="46"/>
  </w:num>
  <w:num w:numId="36">
    <w:abstractNumId w:val="42"/>
  </w:num>
  <w:num w:numId="37">
    <w:abstractNumId w:val="36"/>
  </w:num>
  <w:num w:numId="38">
    <w:abstractNumId w:val="13"/>
  </w:num>
  <w:num w:numId="39">
    <w:abstractNumId w:val="24"/>
  </w:num>
  <w:num w:numId="40">
    <w:abstractNumId w:val="30"/>
  </w:num>
  <w:num w:numId="41">
    <w:abstractNumId w:val="11"/>
  </w:num>
  <w:num w:numId="42">
    <w:abstractNumId w:val="28"/>
  </w:num>
  <w:num w:numId="43">
    <w:abstractNumId w:val="6"/>
  </w:num>
  <w:num w:numId="44">
    <w:abstractNumId w:val="0"/>
  </w:num>
  <w:num w:numId="45">
    <w:abstractNumId w:val="34"/>
  </w:num>
  <w:num w:numId="46">
    <w:abstractNumId w:val="15"/>
  </w:num>
  <w:num w:numId="47">
    <w:abstractNumId w:val="23"/>
  </w:num>
  <w:num w:numId="4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4184"/>
    <w:rsid w:val="00017793"/>
    <w:rsid w:val="00021E24"/>
    <w:rsid w:val="00021ED0"/>
    <w:rsid w:val="0002559F"/>
    <w:rsid w:val="00026637"/>
    <w:rsid w:val="00027A7C"/>
    <w:rsid w:val="00032714"/>
    <w:rsid w:val="00044901"/>
    <w:rsid w:val="00045135"/>
    <w:rsid w:val="00047FB1"/>
    <w:rsid w:val="00050B7F"/>
    <w:rsid w:val="00050F0D"/>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6220"/>
    <w:rsid w:val="00087E7C"/>
    <w:rsid w:val="000911A5"/>
    <w:rsid w:val="00091304"/>
    <w:rsid w:val="00091500"/>
    <w:rsid w:val="00093146"/>
    <w:rsid w:val="00093284"/>
    <w:rsid w:val="000958D4"/>
    <w:rsid w:val="000971B7"/>
    <w:rsid w:val="000A3D97"/>
    <w:rsid w:val="000B047D"/>
    <w:rsid w:val="000B2847"/>
    <w:rsid w:val="000B41A9"/>
    <w:rsid w:val="000B5E53"/>
    <w:rsid w:val="000B6FFC"/>
    <w:rsid w:val="000B7E47"/>
    <w:rsid w:val="000C1D2F"/>
    <w:rsid w:val="000C53A5"/>
    <w:rsid w:val="000C69AC"/>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2D4"/>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44EB"/>
    <w:rsid w:val="00174556"/>
    <w:rsid w:val="00176D9E"/>
    <w:rsid w:val="0017734E"/>
    <w:rsid w:val="001858C5"/>
    <w:rsid w:val="0018610E"/>
    <w:rsid w:val="001904B7"/>
    <w:rsid w:val="00193FCF"/>
    <w:rsid w:val="001A0BCD"/>
    <w:rsid w:val="001A224E"/>
    <w:rsid w:val="001A5423"/>
    <w:rsid w:val="001A671F"/>
    <w:rsid w:val="001A71EF"/>
    <w:rsid w:val="001A75AA"/>
    <w:rsid w:val="001B1EBA"/>
    <w:rsid w:val="001B749C"/>
    <w:rsid w:val="001C0CC1"/>
    <w:rsid w:val="001C239C"/>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254D9"/>
    <w:rsid w:val="00230617"/>
    <w:rsid w:val="00231796"/>
    <w:rsid w:val="00232981"/>
    <w:rsid w:val="0023355F"/>
    <w:rsid w:val="002363A8"/>
    <w:rsid w:val="00236F3E"/>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131A"/>
    <w:rsid w:val="003124F4"/>
    <w:rsid w:val="0031513C"/>
    <w:rsid w:val="0032258F"/>
    <w:rsid w:val="00327F96"/>
    <w:rsid w:val="0033696A"/>
    <w:rsid w:val="00336CD4"/>
    <w:rsid w:val="0034020B"/>
    <w:rsid w:val="00341B2A"/>
    <w:rsid w:val="003454EC"/>
    <w:rsid w:val="00345666"/>
    <w:rsid w:val="00353CE9"/>
    <w:rsid w:val="00357F79"/>
    <w:rsid w:val="00357FF3"/>
    <w:rsid w:val="00360ABC"/>
    <w:rsid w:val="00361F45"/>
    <w:rsid w:val="0036398B"/>
    <w:rsid w:val="00364C76"/>
    <w:rsid w:val="00371CDD"/>
    <w:rsid w:val="003725E7"/>
    <w:rsid w:val="003730B4"/>
    <w:rsid w:val="00373397"/>
    <w:rsid w:val="003765E4"/>
    <w:rsid w:val="00383C8B"/>
    <w:rsid w:val="00391812"/>
    <w:rsid w:val="003A01C5"/>
    <w:rsid w:val="003A0E0F"/>
    <w:rsid w:val="003A26FB"/>
    <w:rsid w:val="003A40D2"/>
    <w:rsid w:val="003A4DEC"/>
    <w:rsid w:val="003A6AE5"/>
    <w:rsid w:val="003B0341"/>
    <w:rsid w:val="003B0F5C"/>
    <w:rsid w:val="003B2C8F"/>
    <w:rsid w:val="003B359B"/>
    <w:rsid w:val="003B3EBB"/>
    <w:rsid w:val="003B50C1"/>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33DE"/>
    <w:rsid w:val="003F43C3"/>
    <w:rsid w:val="003F538E"/>
    <w:rsid w:val="00400978"/>
    <w:rsid w:val="00402816"/>
    <w:rsid w:val="00403495"/>
    <w:rsid w:val="0040798F"/>
    <w:rsid w:val="00414583"/>
    <w:rsid w:val="004201B0"/>
    <w:rsid w:val="004229F1"/>
    <w:rsid w:val="004239FC"/>
    <w:rsid w:val="00424067"/>
    <w:rsid w:val="00425D53"/>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0B3"/>
    <w:rsid w:val="00480F35"/>
    <w:rsid w:val="00480FB5"/>
    <w:rsid w:val="0048114C"/>
    <w:rsid w:val="00484FBF"/>
    <w:rsid w:val="0048518F"/>
    <w:rsid w:val="004866E4"/>
    <w:rsid w:val="00487799"/>
    <w:rsid w:val="00493BD0"/>
    <w:rsid w:val="00494A18"/>
    <w:rsid w:val="004A1D04"/>
    <w:rsid w:val="004A2006"/>
    <w:rsid w:val="004A3722"/>
    <w:rsid w:val="004A4C6F"/>
    <w:rsid w:val="004B0683"/>
    <w:rsid w:val="004B1160"/>
    <w:rsid w:val="004B4719"/>
    <w:rsid w:val="004B47F9"/>
    <w:rsid w:val="004B5149"/>
    <w:rsid w:val="004B7885"/>
    <w:rsid w:val="004C12E6"/>
    <w:rsid w:val="004C13EA"/>
    <w:rsid w:val="004C3501"/>
    <w:rsid w:val="004C50F6"/>
    <w:rsid w:val="004C6DF0"/>
    <w:rsid w:val="004E04C3"/>
    <w:rsid w:val="004E674B"/>
    <w:rsid w:val="004E71FD"/>
    <w:rsid w:val="004E7DF6"/>
    <w:rsid w:val="004F1CE6"/>
    <w:rsid w:val="004F1DD5"/>
    <w:rsid w:val="004F215A"/>
    <w:rsid w:val="004F4B33"/>
    <w:rsid w:val="00503697"/>
    <w:rsid w:val="00506BC5"/>
    <w:rsid w:val="0051179B"/>
    <w:rsid w:val="00513432"/>
    <w:rsid w:val="00513F43"/>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76D58"/>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5D9A"/>
    <w:rsid w:val="005C6DC9"/>
    <w:rsid w:val="005C729B"/>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05D"/>
    <w:rsid w:val="00712430"/>
    <w:rsid w:val="00713DC0"/>
    <w:rsid w:val="00716397"/>
    <w:rsid w:val="007167A5"/>
    <w:rsid w:val="00720ABC"/>
    <w:rsid w:val="00726FA7"/>
    <w:rsid w:val="00734B4F"/>
    <w:rsid w:val="00740BB6"/>
    <w:rsid w:val="00741569"/>
    <w:rsid w:val="00743F79"/>
    <w:rsid w:val="007446C5"/>
    <w:rsid w:val="00752B55"/>
    <w:rsid w:val="00754CD5"/>
    <w:rsid w:val="0076487F"/>
    <w:rsid w:val="00765D2D"/>
    <w:rsid w:val="00766F75"/>
    <w:rsid w:val="00772861"/>
    <w:rsid w:val="00775AB8"/>
    <w:rsid w:val="00777E62"/>
    <w:rsid w:val="0078393C"/>
    <w:rsid w:val="00783FF1"/>
    <w:rsid w:val="0078793C"/>
    <w:rsid w:val="00787B8E"/>
    <w:rsid w:val="0079437A"/>
    <w:rsid w:val="00796C52"/>
    <w:rsid w:val="0079782C"/>
    <w:rsid w:val="007A2464"/>
    <w:rsid w:val="007A4F17"/>
    <w:rsid w:val="007A6414"/>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5DC3"/>
    <w:rsid w:val="00807628"/>
    <w:rsid w:val="00813DA1"/>
    <w:rsid w:val="008246B5"/>
    <w:rsid w:val="008255F9"/>
    <w:rsid w:val="00830953"/>
    <w:rsid w:val="00832188"/>
    <w:rsid w:val="00832CEA"/>
    <w:rsid w:val="008356AE"/>
    <w:rsid w:val="00835E75"/>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6B1D"/>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56547"/>
    <w:rsid w:val="00963451"/>
    <w:rsid w:val="00963D5C"/>
    <w:rsid w:val="00967BA7"/>
    <w:rsid w:val="00970E02"/>
    <w:rsid w:val="009711F9"/>
    <w:rsid w:val="0097138F"/>
    <w:rsid w:val="00972DF0"/>
    <w:rsid w:val="00973962"/>
    <w:rsid w:val="00974460"/>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4D"/>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42C"/>
    <w:rsid w:val="00A32626"/>
    <w:rsid w:val="00A34CA2"/>
    <w:rsid w:val="00A35669"/>
    <w:rsid w:val="00A35FFC"/>
    <w:rsid w:val="00A3797C"/>
    <w:rsid w:val="00A43933"/>
    <w:rsid w:val="00A466E2"/>
    <w:rsid w:val="00A46B04"/>
    <w:rsid w:val="00A4736E"/>
    <w:rsid w:val="00A50C8D"/>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B6D65"/>
    <w:rsid w:val="00AC4F0B"/>
    <w:rsid w:val="00AC5DB8"/>
    <w:rsid w:val="00AD05D9"/>
    <w:rsid w:val="00AD0C6E"/>
    <w:rsid w:val="00AD580C"/>
    <w:rsid w:val="00AE5DE7"/>
    <w:rsid w:val="00AF3851"/>
    <w:rsid w:val="00AF6350"/>
    <w:rsid w:val="00B02E63"/>
    <w:rsid w:val="00B04E91"/>
    <w:rsid w:val="00B14CF6"/>
    <w:rsid w:val="00B20029"/>
    <w:rsid w:val="00B20799"/>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50AD"/>
    <w:rsid w:val="00CC61DB"/>
    <w:rsid w:val="00CD0A9B"/>
    <w:rsid w:val="00CE344D"/>
    <w:rsid w:val="00CE34C9"/>
    <w:rsid w:val="00CE3732"/>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069B5"/>
    <w:rsid w:val="00D131EF"/>
    <w:rsid w:val="00D13B38"/>
    <w:rsid w:val="00D149E1"/>
    <w:rsid w:val="00D16E2F"/>
    <w:rsid w:val="00D23344"/>
    <w:rsid w:val="00D241B3"/>
    <w:rsid w:val="00D24419"/>
    <w:rsid w:val="00D328A2"/>
    <w:rsid w:val="00D332D3"/>
    <w:rsid w:val="00D3652C"/>
    <w:rsid w:val="00D47073"/>
    <w:rsid w:val="00D47E2E"/>
    <w:rsid w:val="00D504C2"/>
    <w:rsid w:val="00D506F5"/>
    <w:rsid w:val="00D51DA8"/>
    <w:rsid w:val="00D56A38"/>
    <w:rsid w:val="00D60FBB"/>
    <w:rsid w:val="00D640F6"/>
    <w:rsid w:val="00D64ED1"/>
    <w:rsid w:val="00D67791"/>
    <w:rsid w:val="00D7467B"/>
    <w:rsid w:val="00D761DD"/>
    <w:rsid w:val="00D803D6"/>
    <w:rsid w:val="00D8118C"/>
    <w:rsid w:val="00D81B26"/>
    <w:rsid w:val="00D83320"/>
    <w:rsid w:val="00D83610"/>
    <w:rsid w:val="00D86E0C"/>
    <w:rsid w:val="00D9054F"/>
    <w:rsid w:val="00D93B8E"/>
    <w:rsid w:val="00D946F7"/>
    <w:rsid w:val="00D94A44"/>
    <w:rsid w:val="00D97B31"/>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36C4E"/>
    <w:rsid w:val="00E40C87"/>
    <w:rsid w:val="00E42F28"/>
    <w:rsid w:val="00E4662B"/>
    <w:rsid w:val="00E47A08"/>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52E5"/>
    <w:rsid w:val="00E876CF"/>
    <w:rsid w:val="00E87FD1"/>
    <w:rsid w:val="00E927B9"/>
    <w:rsid w:val="00E9282E"/>
    <w:rsid w:val="00E932A7"/>
    <w:rsid w:val="00EA23F9"/>
    <w:rsid w:val="00EA48F0"/>
    <w:rsid w:val="00EA67D8"/>
    <w:rsid w:val="00EB1D35"/>
    <w:rsid w:val="00EB5061"/>
    <w:rsid w:val="00EB605F"/>
    <w:rsid w:val="00EC2167"/>
    <w:rsid w:val="00EC2527"/>
    <w:rsid w:val="00EC3150"/>
    <w:rsid w:val="00EC79A6"/>
    <w:rsid w:val="00EC79F7"/>
    <w:rsid w:val="00EC7E77"/>
    <w:rsid w:val="00ED138F"/>
    <w:rsid w:val="00ED3481"/>
    <w:rsid w:val="00ED3D0E"/>
    <w:rsid w:val="00EE0326"/>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17D5"/>
    <w:rsid w:val="00F14642"/>
    <w:rsid w:val="00F14F87"/>
    <w:rsid w:val="00F170EB"/>
    <w:rsid w:val="00F2252D"/>
    <w:rsid w:val="00F235EA"/>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D6E58"/>
    <w:rsid w:val="00FE0837"/>
    <w:rsid w:val="00FE268D"/>
    <w:rsid w:val="00FE2780"/>
    <w:rsid w:val="00FE2D19"/>
    <w:rsid w:val="00FE3862"/>
    <w:rsid w:val="00FE409D"/>
    <w:rsid w:val="00FE5B7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77697-E374-4657-A21A-B25A996A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1129</Words>
  <Characters>6215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5</cp:revision>
  <cp:lastPrinted>2022-12-05T14:56:00Z</cp:lastPrinted>
  <dcterms:created xsi:type="dcterms:W3CDTF">2022-09-27T20:57:00Z</dcterms:created>
  <dcterms:modified xsi:type="dcterms:W3CDTF">2022-12-05T14:57:00Z</dcterms:modified>
</cp:coreProperties>
</file>